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9" w:rsidRPr="009A4A29" w:rsidRDefault="009A4A29" w:rsidP="009A4A29">
      <w:pPr>
        <w:numPr>
          <w:ilvl w:val="1"/>
          <w:numId w:val="4"/>
        </w:numPr>
        <w:tabs>
          <w:tab w:val="left" w:pos="426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Область применения – нефтегазодобывающие и перерабатывающие предприятия, компании нефтяной и газовой промышленности, для отбора пробы нефти из трубопровода с последующим определением физико-химических показателей (качества) перекачиваемого продукта, аналитическим путем в лаборатории предприятия. </w:t>
      </w:r>
    </w:p>
    <w:p w:rsidR="009A4A29" w:rsidRPr="009A4A29" w:rsidRDefault="009A4A29" w:rsidP="009A4A29">
      <w:pPr>
        <w:numPr>
          <w:ilvl w:val="1"/>
          <w:numId w:val="4"/>
        </w:numPr>
        <w:tabs>
          <w:tab w:val="left" w:pos="426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Пробоотборник «Отбор-А-Р слив» изготовлен по техническим условиям, в соответствии с требованиями ГОСТ 2517 «Нефть и нефтепродукты. Методы отбора проб» </w:t>
      </w:r>
    </w:p>
    <w:p w:rsidR="009A4A29" w:rsidRPr="009A4A29" w:rsidRDefault="009A4A29" w:rsidP="009A4A29">
      <w:pPr>
        <w:numPr>
          <w:ilvl w:val="1"/>
          <w:numId w:val="4"/>
        </w:numPr>
        <w:tabs>
          <w:tab w:val="left" w:pos="426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Требования, обеспечивающие безопасность при эксплуатации обслуживающим персоналом, а также безопасность окружающей среды изложены в специальном разделе настоящего руководства.</w:t>
      </w:r>
    </w:p>
    <w:p w:rsidR="009A4A29" w:rsidRPr="009A4A29" w:rsidRDefault="009A4A29" w:rsidP="009A4A29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2. НАЗНАЧЕНИЕ ИЗДЕЛИЯ</w:t>
      </w:r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9A4A29">
        <w:rPr>
          <w:rFonts w:eastAsia="Times New Roman" w:cs="Times New Roman"/>
          <w:sz w:val="24"/>
          <w:szCs w:val="24"/>
          <w:lang w:eastAsia="ru-RU"/>
        </w:rPr>
        <w:tab/>
        <w:t>Пробоотборник автоматический «Отбор-А-Р слив», совмещенный с ручным отбором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 xml:space="preserve"> согласно ГОСТ 2517 и  предназначен для отбора точечной пробы нефтепродукта из трубопровода в пробоприемник по программе, задаваемой блоком </w:t>
      </w:r>
      <w:r w:rsidR="004E184E" w:rsidRPr="009A4A29">
        <w:rPr>
          <w:rFonts w:eastAsia="Times New Roman" w:cs="Times New Roman"/>
          <w:sz w:val="24"/>
          <w:szCs w:val="24"/>
          <w:lang w:eastAsia="ru-RU"/>
        </w:rPr>
        <w:t>программного</w:t>
      </w:r>
      <w:r w:rsidRPr="009A4A29">
        <w:rPr>
          <w:rFonts w:eastAsia="Times New Roman" w:cs="Times New Roman"/>
          <w:sz w:val="24"/>
          <w:szCs w:val="24"/>
          <w:lang w:eastAsia="ru-RU"/>
        </w:rPr>
        <w:t xml:space="preserve"> управления (БПУ) и представляет собой пробоотборное устройство с регулируемым объемом точечных проб, установленным на корпусе пробозаборного зонда.  Пробоотборник «Отбор-А-Р слив» разработан и соответствует требованиям ГОСТ 2517 «Нефть и нефтепродукты. Методы отбора проб», на трубопроводы с давлением до 6,3 Мпа.</w:t>
      </w:r>
    </w:p>
    <w:p w:rsidR="009A4A29" w:rsidRPr="009A4A29" w:rsidRDefault="009A4A29" w:rsidP="009A4A2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3. СОСТАВ ИЗДЕЛИЯ И КОМПЛЕКТ ПОСТАВКИ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В состав пробоотборника «Отбор-А-Р слив» входят (см. Приложение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A4A29" w:rsidRPr="009A4A29" w:rsidRDefault="009A4A29" w:rsidP="009A4A29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Автоматический пробоотборник «Отбор-А-Р слив», который 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состоит из:</w:t>
      </w:r>
    </w:p>
    <w:p w:rsidR="009A4A29" w:rsidRPr="009A4A29" w:rsidRDefault="009A4A29" w:rsidP="009A4A2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корпуса пробозаборного зонда;</w:t>
      </w:r>
    </w:p>
    <w:p w:rsidR="009A4A29" w:rsidRPr="009A4A29" w:rsidRDefault="009A4A29" w:rsidP="009A4A2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основного корпуса с соленоидами взрывозащищенного исполнения;</w:t>
      </w:r>
    </w:p>
    <w:p w:rsidR="009A4A29" w:rsidRPr="009A4A29" w:rsidRDefault="009A4A29" w:rsidP="009A4A2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дозатора;</w:t>
      </w:r>
    </w:p>
    <w:p w:rsidR="009A4A29" w:rsidRPr="009A4A29" w:rsidRDefault="009A4A29" w:rsidP="009A4A2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импульсных трубок подключения;</w:t>
      </w:r>
    </w:p>
    <w:p w:rsidR="009A4A29" w:rsidRPr="009A4A29" w:rsidRDefault="009A4A29" w:rsidP="009A4A2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крана, ручного слива;</w:t>
      </w:r>
    </w:p>
    <w:p w:rsidR="009A4A29" w:rsidRPr="009A4A29" w:rsidRDefault="009A4A29" w:rsidP="009A4A2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отсечных вентилей</w:t>
      </w:r>
      <w:r w:rsidRPr="009A4A29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9A4A29" w:rsidRPr="009A4A29" w:rsidRDefault="009A4A29" w:rsidP="009A4A2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Пробоприемник, 2 </w:t>
      </w:r>
      <w:r w:rsidR="004E184E" w:rsidRPr="009A4A29">
        <w:rPr>
          <w:rFonts w:eastAsia="Times New Roman" w:cs="Times New Roman"/>
          <w:sz w:val="24"/>
          <w:szCs w:val="24"/>
          <w:lang w:eastAsia="ru-RU"/>
        </w:rPr>
        <w:t>баллона</w:t>
      </w:r>
      <w:bookmarkStart w:id="0" w:name="_GoBack"/>
      <w:bookmarkEnd w:id="0"/>
      <w:r w:rsidRPr="009A4A29">
        <w:rPr>
          <w:rFonts w:eastAsia="Times New Roman" w:cs="Times New Roman"/>
          <w:sz w:val="24"/>
          <w:szCs w:val="24"/>
          <w:lang w:eastAsia="ru-RU"/>
        </w:rPr>
        <w:t xml:space="preserve"> по 5л.</w:t>
      </w:r>
    </w:p>
    <w:p w:rsidR="009A4A29" w:rsidRPr="009A4A29" w:rsidRDefault="009A4A29" w:rsidP="009A4A29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Блок управления (БПУ); 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В комплект поставки входят: 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-    пробоотборник (1 комплект);</w:t>
      </w:r>
    </w:p>
    <w:p w:rsidR="009A4A29" w:rsidRPr="009A4A29" w:rsidRDefault="009A4A29" w:rsidP="009A4A29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9A4A29">
        <w:rPr>
          <w:rFonts w:eastAsia="Times New Roman" w:cs="Times New Roman"/>
          <w:sz w:val="24"/>
          <w:szCs w:val="24"/>
          <w:lang w:eastAsia="ru-RU"/>
        </w:rPr>
        <w:t>блок управления;</w:t>
      </w:r>
    </w:p>
    <w:p w:rsidR="009A4A29" w:rsidRPr="009A4A29" w:rsidRDefault="009A4A29" w:rsidP="009A4A29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комплект ЗИП (согласно ведомости ЗИП);</w:t>
      </w:r>
    </w:p>
    <w:p w:rsidR="009A4A29" w:rsidRPr="009A4A29" w:rsidRDefault="009A4A29" w:rsidP="009A4A29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паспорт  (1экз.);</w:t>
      </w:r>
    </w:p>
    <w:p w:rsidR="009A4A29" w:rsidRPr="009A4A29" w:rsidRDefault="009A4A29" w:rsidP="009A4A29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руководство по эксплуатации;</w:t>
      </w:r>
    </w:p>
    <w:p w:rsidR="009A4A29" w:rsidRPr="009A4A29" w:rsidRDefault="009A4A29" w:rsidP="009A4A29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2 пробоприемника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4. ОСНОВНЫЕ ТЕХНИЧЕСКИЕ ХАРАКТЕРИСТИКИ</w:t>
      </w: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1749"/>
      </w:tblGrid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5649" w:type="dxa"/>
          </w:tcPr>
          <w:p w:rsidR="009A4A29" w:rsidRPr="009A4A29" w:rsidRDefault="009A4A29" w:rsidP="009A4A29">
            <w:pPr>
              <w:keepNext/>
              <w:spacing w:after="0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1. Характеристика отбираемой рабочей среды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Рабочий диапазон температуры, </w:t>
            </w:r>
            <w:r w:rsidRPr="009A4A2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От+5</w:t>
            </w: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до +95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1.2. Плотность</w:t>
            </w:r>
            <w:proofErr w:type="gramStart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кг/м</w:t>
            </w:r>
            <w:r w:rsidRPr="009A4A2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От500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1.3. Вязкость кинематическая, мм</w:t>
            </w:r>
            <w:r w:rsidRPr="009A4A2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/сек</w:t>
            </w:r>
            <w:proofErr w:type="gramStart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сСт</w:t>
            </w:r>
            <w:proofErr w:type="spellEnd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4E184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 </w:t>
            </w:r>
            <w:proofErr w:type="spellStart"/>
            <w:r w:rsidRPr="004E184E">
              <w:rPr>
                <w:rFonts w:eastAsia="Times New Roman" w:cs="Times New Roman"/>
                <w:sz w:val="16"/>
                <w:szCs w:val="16"/>
                <w:lang w:eastAsia="ru-RU"/>
              </w:rPr>
              <w:t>н.у</w:t>
            </w:r>
            <w:proofErr w:type="spellEnd"/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до 1</w:t>
            </w: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1.4. Массовая доля воды, % массовые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до 99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1.5. Массовая доля механических примесей, % </w:t>
            </w:r>
            <w:proofErr w:type="gramStart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массовые</w:t>
            </w:r>
            <w:proofErr w:type="gramEnd"/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1.6. Концентрация хлористых солей, мг/дм</w:t>
            </w:r>
            <w:r w:rsidRPr="009A4A2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до100000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2. Технологические режимы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Рабочее давление, МПа, 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Start"/>
            <w:r w:rsidRPr="009A4A2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9A4A29">
              <w:rPr>
                <w:rFonts w:eastAsia="Times New Roman" w:cs="Times New Roman"/>
                <w:sz w:val="20"/>
                <w:szCs w:val="20"/>
                <w:lang w:eastAsia="ru-RU"/>
              </w:rPr>
              <w:t>,25</w:t>
            </w:r>
            <w:r w:rsidRPr="004E184E">
              <w:rPr>
                <w:rFonts w:eastAsia="Times New Roman" w:cs="Times New Roman"/>
                <w:sz w:val="20"/>
                <w:szCs w:val="20"/>
                <w:lang w:eastAsia="ru-RU"/>
              </w:rPr>
              <w:t>**</w:t>
            </w:r>
            <w:r w:rsidRPr="009A4A29">
              <w:rPr>
                <w:rFonts w:eastAsia="Times New Roman" w:cs="Times New Roman"/>
                <w:sz w:val="20"/>
                <w:szCs w:val="20"/>
                <w:lang w:eastAsia="ru-RU"/>
              </w:rPr>
              <w:t>до6,3</w:t>
            </w:r>
            <w:r w:rsidRPr="004E184E">
              <w:rPr>
                <w:rFonts w:eastAsia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Диаметр условного прохода, </w:t>
            </w:r>
            <w:proofErr w:type="gramStart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2.3.Объем дозы дозатора, куб. см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от 3 до 12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A4A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3. Геометрические размеры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Строительная высота, без учета длины зонда,  </w:t>
            </w: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A4A29" w:rsidRPr="009A4A29" w:rsidRDefault="009A4A29" w:rsidP="009A4A29">
            <w:pPr>
              <w:spacing w:after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Масса, </w:t>
            </w:r>
            <w:proofErr w:type="gramStart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4. Условия эксплуатации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Температура окружающей среды, </w:t>
            </w:r>
            <w:proofErr w:type="spellStart"/>
            <w:r w:rsidRPr="009A4A2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749" w:type="dxa"/>
          </w:tcPr>
          <w:p w:rsidR="009A4A29" w:rsidRPr="009A4A29" w:rsidRDefault="009A4A29" w:rsidP="009A4A29">
            <w:pPr>
              <w:keepNext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от +5</w:t>
            </w: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до+</w:t>
            </w:r>
            <w:r w:rsidRPr="009A4A29">
              <w:rPr>
                <w:rFonts w:eastAsia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9A4A29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4.2. Влажность окружающей среды, %</w:t>
            </w:r>
          </w:p>
        </w:tc>
        <w:tc>
          <w:tcPr>
            <w:tcW w:w="1749" w:type="dxa"/>
          </w:tcPr>
          <w:p w:rsidR="009A4A29" w:rsidRPr="009A4A29" w:rsidRDefault="009A4A29" w:rsidP="009A4A29">
            <w:pPr>
              <w:keepNext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4"/>
                <w:lang w:eastAsia="ru-RU"/>
              </w:rPr>
              <w:t>до 98</w:t>
            </w:r>
          </w:p>
        </w:tc>
      </w:tr>
      <w:tr w:rsidR="009A4A29" w:rsidRPr="004E184E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4E184E" w:rsidRDefault="009A4A29" w:rsidP="009A4A29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184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5.Привод</w:t>
            </w:r>
          </w:p>
        </w:tc>
        <w:tc>
          <w:tcPr>
            <w:tcW w:w="1749" w:type="dxa"/>
          </w:tcPr>
          <w:p w:rsidR="009A4A29" w:rsidRPr="004E184E" w:rsidRDefault="009A4A29" w:rsidP="009A4A29">
            <w:pPr>
              <w:keepNext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29" w:rsidRPr="004E184E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4E184E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5.1 Электрический привод</w:t>
            </w:r>
          </w:p>
        </w:tc>
        <w:tc>
          <w:tcPr>
            <w:tcW w:w="1749" w:type="dxa"/>
          </w:tcPr>
          <w:p w:rsidR="009A4A29" w:rsidRPr="004E184E" w:rsidRDefault="009A4A29" w:rsidP="009A4A29">
            <w:pPr>
              <w:keepNext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29" w:rsidRPr="004E184E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4E184E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5.2 Напряжение питания В.</w:t>
            </w:r>
          </w:p>
        </w:tc>
        <w:tc>
          <w:tcPr>
            <w:tcW w:w="1749" w:type="dxa"/>
          </w:tcPr>
          <w:p w:rsidR="009A4A29" w:rsidRPr="004E184E" w:rsidRDefault="009A4A29" w:rsidP="009A4A29">
            <w:pPr>
              <w:keepNext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A4A29" w:rsidRPr="004E184E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4E184E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 Частота </w:t>
            </w:r>
            <w:proofErr w:type="gramStart"/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</w:tcPr>
          <w:p w:rsidR="009A4A29" w:rsidRPr="004E184E" w:rsidRDefault="009A4A29" w:rsidP="009A4A29">
            <w:pPr>
              <w:keepNext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4A29" w:rsidRPr="004E184E" w:rsidTr="00BF49F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49" w:type="dxa"/>
          </w:tcPr>
          <w:p w:rsidR="009A4A29" w:rsidRPr="004E184E" w:rsidRDefault="009A4A29" w:rsidP="009A4A2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5.4 Мощность потребляемая не более ВА</w:t>
            </w:r>
          </w:p>
        </w:tc>
        <w:tc>
          <w:tcPr>
            <w:tcW w:w="1749" w:type="dxa"/>
          </w:tcPr>
          <w:p w:rsidR="009A4A29" w:rsidRPr="004E184E" w:rsidRDefault="009A4A29" w:rsidP="009A4A29">
            <w:pPr>
              <w:keepNext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184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9A4A29" w:rsidRPr="004E184E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E184E">
        <w:rPr>
          <w:rFonts w:eastAsia="Times New Roman" w:cs="Times New Roman"/>
          <w:sz w:val="24"/>
          <w:szCs w:val="24"/>
          <w:lang w:eastAsia="ru-RU"/>
        </w:rPr>
        <w:t>* Нижнее значение температуры зависит от температуры застывания (кристаллизации) перекачиваемого продукта.</w:t>
      </w:r>
    </w:p>
    <w:p w:rsidR="009A4A29" w:rsidRPr="004E184E" w:rsidRDefault="009A4A29" w:rsidP="009A4A29">
      <w:pPr>
        <w:pStyle w:val="a0"/>
        <w:rPr>
          <w:rFonts w:cs="Times New Roman"/>
          <w:sz w:val="24"/>
          <w:szCs w:val="24"/>
          <w:lang w:eastAsia="ru-RU"/>
        </w:rPr>
      </w:pPr>
      <w:r w:rsidRPr="004E184E">
        <w:rPr>
          <w:rFonts w:cs="Times New Roman"/>
          <w:sz w:val="24"/>
          <w:szCs w:val="24"/>
          <w:lang w:eastAsia="ru-RU"/>
        </w:rPr>
        <w:t>** иное исполнение под заказ.</w:t>
      </w:r>
    </w:p>
    <w:p w:rsidR="009A4A29" w:rsidRPr="009A4A29" w:rsidRDefault="009A4A29" w:rsidP="009A4A29">
      <w:pPr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5. УСТРОЙСТВО И ПРИНЦИП РАБОТЫ</w:t>
      </w:r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  Устройство и работа пробоотборника «Отбор-А-Р-слив» поясняется чертежом (см. Приложение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>.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 xml:space="preserve">Жидкость, проходящая по трубопроводу, поступает, через пробозаборное устройство щелевого типа (далее зонд) (поз.1), импульсную трубку (поз.2) и конусный штуцер (поз.3), поступает через основной корпус (поз.4) в полость золотникового штока, далее через импульсную трубку (поз.5)  возвращается в зонд (поз.1), т.е. получается постоянная циркуляция жидкости в контуре пробоотборника, выполняется требования ГОСТ 2517. </w:t>
      </w:r>
      <w:proofErr w:type="gramEnd"/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 Постоянная циркуляция движения жидкости достигается за счет перепада давления между входом и выходом пробозаборного зонда, при условии обеспечения скорости потока не менее1-1,5 м/сек.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При ручном отборе проб жидкости, согласно ГОСТ 2517 в циркуляционном потоке схемы пробоотборника «Отбор-А-Р слив» предусмотрен кран (поз.7), для слива пробы в баллон (поз.17).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При автоматическом отборе проб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 xml:space="preserve"> согласно ГОСТ 2517 необходимо в блоке управления   задать программу, обеспечивающую включение катушки (поз 8.), для попадания потока жидкости в дозатор (поз.9)и включения катушки (поз.10) после наполнения объема дозатора. Объем дозы дозатора регулируется с помощью регулировочного винта (поз.11)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Для пояснения принципа отбора пробы пробоотборника «Отбор-А-Р слив» рассмотрим Приложение: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Поток нефтепродукта из трубопровода попадает через зонд (поз.1)  в циркуляционную схему потока жидкости.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Для попадания продукта в дозатор, включается катушка (поз.8), которая перемещает в полости основного корпуса золотниковый шток, для открытия отверстия заполнения дозатора (поз.9). Поршень дозатора (поз.12) 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>перемещается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 xml:space="preserve"> вверх заполняя камеру дозатора заданным объемом пробы продукта, за счет того, что давление циркуляционного потока жидкости больше чем за поршнем дозатора по схеме: дозатор (поз.9), импульсная трубка (поз.13), конусный штуцер крана-2 (поз.14).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После заполнения пробой дозатора включается катушка (поз.10), для перемещения в полости основного корпуса золотникового штока в исходное положение,  для подключения отверстия дозатора со штуцером слива (поз.15)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 xml:space="preserve"> вытеснение отобранной пробы, через импульсную трубку (поз.16) в баллон (поз.17).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Слив пробы в баллон происходит за счет давления, находящегося за поршнем дозатора, которое больше чем давление в баллоне. Поршень дозатора выталкивает заполненную дозу пробы в баллон.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 При любом положении золотникового штока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 xml:space="preserve"> циркуляция не прерывается, согласно выше рассмотренной схеме.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Объем объединенной пробы, заполненного в баллон должен быть не менее 3000 куб. см,. После заполнения баллон должен быть заменен 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 xml:space="preserve"> пустой, чисто промытый.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Для правильной работы пробоотборника, необходимо запрограммировать блок управления по отдельной Инструкции к «Базис-12.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>»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 xml:space="preserve">     Блок управления - это микропроцессорное устройство, обеспечивающее функциональное выполнение заданной программы работы пробоотборника «Отбор-А-Р слив».   </w:t>
      </w:r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sz w:val="24"/>
          <w:szCs w:val="24"/>
          <w:lang w:eastAsia="ru-RU"/>
        </w:rPr>
        <w:t>6. РЕГУЛИРОВКА ДОЗЫ ЖИДКОСТИ.</w:t>
      </w:r>
    </w:p>
    <w:p w:rsidR="009A4A29" w:rsidRPr="009A4A29" w:rsidRDefault="009A4A29" w:rsidP="009A4A29">
      <w:pPr>
        <w:spacing w:after="0"/>
        <w:rPr>
          <w:rFonts w:eastAsia="Times New Roman" w:cs="Times New Roman"/>
          <w:i/>
          <w:sz w:val="24"/>
          <w:szCs w:val="24"/>
          <w:lang w:eastAsia="ru-RU"/>
        </w:rPr>
      </w:pP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4A29">
        <w:rPr>
          <w:rFonts w:eastAsia="Times New Roman" w:cs="Times New Roman"/>
          <w:i/>
          <w:sz w:val="24"/>
          <w:szCs w:val="24"/>
          <w:lang w:eastAsia="ru-RU"/>
        </w:rPr>
        <w:t xml:space="preserve">    </w:t>
      </w:r>
      <w:r w:rsidRPr="009A4A29">
        <w:rPr>
          <w:rFonts w:eastAsia="Times New Roman" w:cs="Times New Roman"/>
          <w:sz w:val="24"/>
          <w:szCs w:val="24"/>
          <w:lang w:eastAsia="ru-RU"/>
        </w:rPr>
        <w:t xml:space="preserve"> Регулировка дозы осуществляется с помощью регулирующей втулки (поз.11) и линейки. При повороте по часовой стрелки регулирующей втулки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 xml:space="preserve"> объем заполнения дозатора (поз.9)  уменьшается. Линейкой производится замер от верхней плоскости выступающей части регулирующей втулки дозатора до выступающей части корпуса дозатора  с последующим его выставлении на нужную величину </w:t>
      </w:r>
      <w:proofErr w:type="gramStart"/>
      <w:r w:rsidRPr="009A4A29">
        <w:rPr>
          <w:rFonts w:eastAsia="Times New Roman" w:cs="Times New Roman"/>
          <w:sz w:val="24"/>
          <w:szCs w:val="24"/>
          <w:lang w:eastAsia="ru-RU"/>
        </w:rPr>
        <w:t>согласно</w:t>
      </w:r>
      <w:proofErr w:type="gramEnd"/>
      <w:r w:rsidRPr="009A4A29">
        <w:rPr>
          <w:rFonts w:eastAsia="Times New Roman" w:cs="Times New Roman"/>
          <w:sz w:val="24"/>
          <w:szCs w:val="24"/>
          <w:lang w:eastAsia="ru-RU"/>
        </w:rPr>
        <w:t xml:space="preserve"> нижеприведенной таблицы. </w:t>
      </w:r>
    </w:p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758"/>
      </w:tblGrid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30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Объем дозы дозатора, см</w:t>
            </w:r>
            <w:r w:rsidRPr="009A4A29">
              <w:rPr>
                <w:rFonts w:eastAsia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758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Выступающая часть втулки, </w:t>
            </w:r>
            <w:proofErr w:type="gramStart"/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330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758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30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758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330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758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330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758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9A4A29" w:rsidRPr="009A4A29" w:rsidTr="00BF49F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30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758" w:type="dxa"/>
          </w:tcPr>
          <w:p w:rsidR="009A4A29" w:rsidRPr="009A4A29" w:rsidRDefault="009A4A29" w:rsidP="009A4A29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A4A29">
              <w:rPr>
                <w:rFonts w:eastAsia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</w:tbl>
    <w:p w:rsidR="009A4A29" w:rsidRPr="009A4A29" w:rsidRDefault="009A4A29" w:rsidP="009A4A2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00C0" w:rsidRPr="004E184E" w:rsidRDefault="006900C0">
      <w:pPr>
        <w:rPr>
          <w:rFonts w:cs="Times New Roman"/>
        </w:rPr>
      </w:pPr>
    </w:p>
    <w:sectPr w:rsidR="006900C0" w:rsidRPr="004E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731D"/>
    <w:multiLevelType w:val="hybridMultilevel"/>
    <w:tmpl w:val="EBACE8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"/>
      <w:lvlJc w:val="left"/>
      <w:pPr>
        <w:tabs>
          <w:tab w:val="num" w:pos="6285"/>
        </w:tabs>
        <w:ind w:left="6285" w:hanging="5205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53E4"/>
    <w:multiLevelType w:val="singleLevel"/>
    <w:tmpl w:val="1FA080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6A14A18"/>
    <w:multiLevelType w:val="singleLevel"/>
    <w:tmpl w:val="9C6EB0B0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">
    <w:nsid w:val="78885B07"/>
    <w:multiLevelType w:val="hybridMultilevel"/>
    <w:tmpl w:val="8B188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43"/>
    <w:rsid w:val="00084B43"/>
    <w:rsid w:val="00382CBD"/>
    <w:rsid w:val="004E184E"/>
    <w:rsid w:val="006900C0"/>
    <w:rsid w:val="009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2CBD"/>
    <w:pPr>
      <w:spacing w:line="240" w:lineRule="auto"/>
    </w:pPr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82CBD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2CBD"/>
    <w:pPr>
      <w:spacing w:line="240" w:lineRule="auto"/>
    </w:pPr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82CB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3</cp:revision>
  <dcterms:created xsi:type="dcterms:W3CDTF">2018-02-07T13:46:00Z</dcterms:created>
  <dcterms:modified xsi:type="dcterms:W3CDTF">2018-02-07T14:15:00Z</dcterms:modified>
</cp:coreProperties>
</file>