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AB" w:rsidRPr="002D5AAB" w:rsidRDefault="002D5AAB" w:rsidP="002D5AAB">
      <w:pPr>
        <w:spacing w:after="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D5AAB" w:rsidRPr="002D5AAB" w:rsidRDefault="002D5AAB" w:rsidP="002D5AAB">
      <w:pPr>
        <w:spacing w:after="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D5AAB" w:rsidRPr="002D5AAB" w:rsidRDefault="002D5AAB" w:rsidP="002D5AA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>2. НАЗНАЧЕНИЕ ИЗДЕЛИЯ</w:t>
      </w:r>
    </w:p>
    <w:p w:rsidR="002D5AAB" w:rsidRPr="002D5AAB" w:rsidRDefault="002D5AAB" w:rsidP="002D5AA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2D5AAB">
        <w:rPr>
          <w:rFonts w:eastAsia="Times New Roman" w:cs="Times New Roman"/>
          <w:sz w:val="24"/>
          <w:szCs w:val="24"/>
          <w:lang w:eastAsia="ru-RU"/>
        </w:rPr>
        <w:tab/>
        <w:t>Пробоотборник автоматический «Отбор-А-Р слив», совмещенный с ручным отбором нефти, согласно ГОСТ 2517- 2012 и  предназначен для отбора точечной пробы нефти или нефтепродуктов из трубопровода в пробоприемник по программе, задаваемой блоком управления (БУ) и представляет собой пробоотборное устройство с регулируемым объемом точечных проб, установленным в корпусе диспергатора.  Пробоотборник «Отбор-А-Р-слив» разработан и соответствует ГОСТ 2517 «Нефть и нефтепродукты. Методы отбора проб», на трубопроводы с давлением до 6,3 Мпа.</w:t>
      </w:r>
    </w:p>
    <w:p w:rsidR="002D5AAB" w:rsidRPr="002D5AAB" w:rsidRDefault="002D5AAB" w:rsidP="002D5AA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5AAB" w:rsidRPr="002D5AAB" w:rsidRDefault="002D5AAB" w:rsidP="002D5AA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5AAB" w:rsidRPr="002D5AAB" w:rsidRDefault="002D5AAB" w:rsidP="002D5AA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5AAB" w:rsidRPr="002D5AAB" w:rsidRDefault="002D5AAB" w:rsidP="002D5AA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5AAB" w:rsidRPr="002D5AAB" w:rsidRDefault="002D5AAB" w:rsidP="002D5AA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5AAB" w:rsidRPr="002D5AAB" w:rsidRDefault="002D5AAB" w:rsidP="002D5AA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>3. СОСТАВ ИЗДЕЛИЯ И КОМПЛЕКТ ПОСТАВКИ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>В состав пробоотборника «Отбор-А-Р слив» входят (см. Приложение 1)</w:t>
      </w:r>
    </w:p>
    <w:p w:rsidR="002D5AAB" w:rsidRPr="002D5AAB" w:rsidRDefault="002D5AAB" w:rsidP="002D5AAB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Автоматический пробоотборник «Отбор-А-Р слив», который 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>состоит из:</w:t>
      </w:r>
    </w:p>
    <w:p w:rsidR="002D5AAB" w:rsidRPr="002D5AAB" w:rsidRDefault="002D5AAB" w:rsidP="002D5AAB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>корпуса диспергатора;</w:t>
      </w:r>
    </w:p>
    <w:p w:rsidR="002D5AAB" w:rsidRPr="002D5AAB" w:rsidRDefault="002D5AAB" w:rsidP="002D5AAB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>соленоида;</w:t>
      </w:r>
    </w:p>
    <w:p w:rsidR="002D5AAB" w:rsidRPr="002D5AAB" w:rsidRDefault="002D5AAB" w:rsidP="002D5AAB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>дозатора;</w:t>
      </w:r>
    </w:p>
    <w:p w:rsidR="002D5AAB" w:rsidRPr="002D5AAB" w:rsidRDefault="002D5AAB" w:rsidP="002D5AAB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>импульсных трубок подключения;</w:t>
      </w:r>
    </w:p>
    <w:p w:rsidR="002D5AAB" w:rsidRPr="002D5AAB" w:rsidRDefault="002D5AAB" w:rsidP="002D5AAB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>крана, ручного слива;</w:t>
      </w:r>
    </w:p>
    <w:p w:rsidR="002D5AAB" w:rsidRPr="002D5AAB" w:rsidRDefault="002D5AAB" w:rsidP="002D5AAB">
      <w:pPr>
        <w:spacing w:after="0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5AAB" w:rsidRPr="002D5AAB" w:rsidRDefault="002D5AAB" w:rsidP="002D5AAB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>Пробоприемник, который состоит из:</w:t>
      </w:r>
    </w:p>
    <w:p w:rsidR="002D5AAB" w:rsidRPr="002D5AAB" w:rsidRDefault="002D5AAB" w:rsidP="002D5AAB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>2-х баллонов;</w:t>
      </w:r>
    </w:p>
    <w:p w:rsidR="002D5AAB" w:rsidRPr="002D5AAB" w:rsidRDefault="002D5AAB" w:rsidP="002D5AAB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>кронштейна крепления;</w:t>
      </w:r>
    </w:p>
    <w:p w:rsidR="002D5AAB" w:rsidRPr="00120B00" w:rsidRDefault="002D5AAB" w:rsidP="002D5AAB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>зажимного устройства;</w:t>
      </w:r>
    </w:p>
    <w:p w:rsidR="00120B00" w:rsidRPr="00120B00" w:rsidRDefault="00120B00" w:rsidP="00120B00">
      <w:pPr>
        <w:pStyle w:val="a0"/>
        <w:rPr>
          <w:rFonts w:cs="Times New Roman"/>
          <w:lang w:eastAsia="ru-RU"/>
        </w:rPr>
      </w:pPr>
      <w:r w:rsidRPr="00120B00">
        <w:rPr>
          <w:rFonts w:cs="Times New Roman"/>
          <w:lang w:eastAsia="ru-RU"/>
        </w:rPr>
        <w:t xml:space="preserve">     </w:t>
      </w:r>
    </w:p>
    <w:p w:rsidR="002D5AAB" w:rsidRPr="002D5AAB" w:rsidRDefault="002D5AAB" w:rsidP="002D5AAB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Блок управления (БУ); 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В комплект поставки входят: 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>-    пробоотборник (1 комплект);</w:t>
      </w:r>
    </w:p>
    <w:p w:rsidR="002D5AAB" w:rsidRPr="002D5AAB" w:rsidRDefault="002D5AAB" w:rsidP="002D5AAB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2D5AAB">
        <w:rPr>
          <w:rFonts w:eastAsia="Times New Roman" w:cs="Times New Roman"/>
          <w:sz w:val="24"/>
          <w:szCs w:val="24"/>
          <w:lang w:eastAsia="ru-RU"/>
        </w:rPr>
        <w:t>блок управления;</w:t>
      </w:r>
    </w:p>
    <w:p w:rsidR="002D5AAB" w:rsidRPr="002D5AAB" w:rsidRDefault="002D5AAB" w:rsidP="002D5AAB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комплект ЗИП (согласно ведомости ЗИП);</w:t>
      </w:r>
    </w:p>
    <w:p w:rsidR="002D5AAB" w:rsidRPr="002D5AAB" w:rsidRDefault="002D5AAB" w:rsidP="002D5AAB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паспорт  03.004.001 ПС (1экз.);</w:t>
      </w:r>
    </w:p>
    <w:p w:rsidR="002D5AAB" w:rsidRPr="002D5AAB" w:rsidRDefault="002D5AAB" w:rsidP="002D5AAB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упаковочный лист (1экз.).</w:t>
      </w:r>
    </w:p>
    <w:p w:rsidR="002D5AAB" w:rsidRPr="002D5AAB" w:rsidRDefault="002D5AAB" w:rsidP="002D5AA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D5AAB" w:rsidRPr="002D5AAB" w:rsidRDefault="002D5AAB" w:rsidP="002D5AA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D5AAB" w:rsidRPr="002D5AAB" w:rsidRDefault="002D5AAB" w:rsidP="002D5AA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9"/>
        <w:gridCol w:w="1749"/>
      </w:tblGrid>
      <w:tr w:rsidR="0075716E" w:rsidRPr="00120B00" w:rsidTr="00BF49FC">
        <w:trPr>
          <w:trHeight w:val="741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Характеристика отбираемой рабочей среды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Рабочий диапазон температуры, </w:t>
            </w:r>
            <w:r w:rsidRPr="00120B0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От+5*до +95</w:t>
            </w: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1.2. Плотность</w:t>
            </w:r>
            <w:proofErr w:type="gramStart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кг/м</w:t>
            </w:r>
            <w:r w:rsidRPr="00120B0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От500</w:t>
            </w: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1.3. Вязкость кинематическая, мм</w:t>
            </w:r>
            <w:r w:rsidRPr="00120B0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/сек</w:t>
            </w:r>
            <w:proofErr w:type="gramStart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сСт</w:t>
            </w:r>
            <w:proofErr w:type="spellEnd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)при </w:t>
            </w:r>
            <w:proofErr w:type="spellStart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н.у</w:t>
            </w:r>
            <w:proofErr w:type="spellEnd"/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до 1000</w:t>
            </w: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1.4. Массовая доля воды, % массовые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до 99</w:t>
            </w:r>
          </w:p>
        </w:tc>
      </w:tr>
      <w:tr w:rsidR="0075716E" w:rsidRPr="00120B00" w:rsidTr="00BF49FC">
        <w:trPr>
          <w:trHeight w:val="741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1.5. Массовая доля механических примесей, % </w:t>
            </w:r>
            <w:proofErr w:type="gramStart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массовые</w:t>
            </w:r>
            <w:proofErr w:type="gramEnd"/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1.6. Концентрация хлористых солей, мг/дм</w:t>
            </w:r>
            <w:r w:rsidRPr="00120B0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до100000</w:t>
            </w: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2. Технологические режимы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 Рабочее давление, МПа, 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Start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,25**до6,3**</w:t>
            </w:r>
          </w:p>
        </w:tc>
      </w:tr>
      <w:tr w:rsidR="0075716E" w:rsidRPr="00120B00" w:rsidTr="00BF49FC">
        <w:trPr>
          <w:trHeight w:val="35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Диаметр условного прохода, </w:t>
            </w:r>
            <w:proofErr w:type="gramStart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50/80/100/150</w:t>
            </w: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2.3.Объем дозы дозатора, куб. см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от 3 до 12</w:t>
            </w: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20B0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3. Геометрические размеры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5716E" w:rsidRPr="00120B00" w:rsidTr="00BF49FC">
        <w:trPr>
          <w:trHeight w:val="761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gramStart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размеры диспергатора  не более мм.</w:t>
            </w:r>
          </w:p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220/275/275/360</w:t>
            </w:r>
          </w:p>
        </w:tc>
      </w:tr>
      <w:tr w:rsidR="0075716E" w:rsidRPr="00120B00" w:rsidTr="00BF49FC">
        <w:trPr>
          <w:trHeight w:val="35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Масса, </w:t>
            </w:r>
            <w:proofErr w:type="gramStart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30/40/45/60</w:t>
            </w: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4. Условия эксплуатации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5716E" w:rsidRPr="00120B00" w:rsidTr="00BF49FC">
        <w:trPr>
          <w:trHeight w:val="391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Температура окружающей среды, </w:t>
            </w:r>
            <w:proofErr w:type="spellStart"/>
            <w:r w:rsidRPr="00120B0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от +5* до+</w:t>
            </w:r>
            <w:r w:rsidRPr="00120B00">
              <w:rPr>
                <w:rFonts w:eastAsia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4.2. Влажность окружающей среды, %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до 98</w:t>
            </w: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5.Привод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5.1 Электрический привод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5.2 Напряжение питания В.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 Частота </w:t>
            </w:r>
            <w:proofErr w:type="gramStart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5716E" w:rsidRPr="00120B00" w:rsidTr="00BF49FC">
        <w:trPr>
          <w:trHeight w:val="370"/>
        </w:trPr>
        <w:tc>
          <w:tcPr>
            <w:tcW w:w="56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5.4 Мощность потребляемая не более ВА</w:t>
            </w:r>
          </w:p>
        </w:tc>
        <w:tc>
          <w:tcPr>
            <w:tcW w:w="1749" w:type="dxa"/>
          </w:tcPr>
          <w:p w:rsidR="0075716E" w:rsidRPr="00120B00" w:rsidRDefault="0075716E" w:rsidP="0075716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B0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5716E" w:rsidRPr="00120B00" w:rsidRDefault="0075716E" w:rsidP="0075716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20B00">
        <w:rPr>
          <w:rFonts w:eastAsia="Times New Roman" w:cs="Times New Roman"/>
          <w:sz w:val="24"/>
          <w:szCs w:val="24"/>
          <w:lang w:eastAsia="ru-RU"/>
        </w:rPr>
        <w:t>* Нижнее значение температуры зависит от температуры застывания (кристаллизации) перекачиваемого продукта.</w:t>
      </w:r>
    </w:p>
    <w:p w:rsidR="0075716E" w:rsidRPr="00120B00" w:rsidRDefault="0075716E" w:rsidP="0075716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20B00">
        <w:rPr>
          <w:rFonts w:eastAsia="Times New Roman" w:cs="Times New Roman"/>
          <w:sz w:val="24"/>
          <w:szCs w:val="24"/>
          <w:lang w:eastAsia="ru-RU"/>
        </w:rPr>
        <w:t>** иное исполнение под заказ.</w:t>
      </w:r>
    </w:p>
    <w:p w:rsidR="002D5AAB" w:rsidRPr="002D5AAB" w:rsidRDefault="002D5AAB" w:rsidP="002D5AA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D5AAB" w:rsidRPr="002D5AAB" w:rsidRDefault="002D5AAB" w:rsidP="002D5AA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      Устройство и работа пробоотборника «Отбор-А-Р-слив» поясняется чертежом (см. Приложение 2).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     Жидкость, проходящая по трубопроводу (поз.1), поступает в корпус диспергатора (поз.2), в котором установлена кавитирующая втулка (поз.3) для получения эмульсии, т.е. ее перемешивание. </w:t>
      </w:r>
      <w:proofErr w:type="gramStart"/>
      <w:r w:rsidRPr="002D5AAB">
        <w:rPr>
          <w:rFonts w:eastAsia="Times New Roman" w:cs="Times New Roman"/>
          <w:sz w:val="24"/>
          <w:szCs w:val="24"/>
          <w:lang w:eastAsia="ru-RU"/>
        </w:rPr>
        <w:t xml:space="preserve">Жидкость (эмульсия), через </w:t>
      </w:r>
      <w:proofErr w:type="spellStart"/>
      <w:r w:rsidRPr="002D5AAB">
        <w:rPr>
          <w:rFonts w:eastAsia="Times New Roman" w:cs="Times New Roman"/>
          <w:sz w:val="24"/>
          <w:szCs w:val="24"/>
          <w:lang w:eastAsia="ru-RU"/>
        </w:rPr>
        <w:t>пробозаборную</w:t>
      </w:r>
      <w:proofErr w:type="spellEnd"/>
      <w:r w:rsidRPr="002D5AAB">
        <w:rPr>
          <w:rFonts w:eastAsia="Times New Roman" w:cs="Times New Roman"/>
          <w:sz w:val="24"/>
          <w:szCs w:val="24"/>
          <w:lang w:eastAsia="ru-RU"/>
        </w:rPr>
        <w:t xml:space="preserve"> трубку (поз.4), тройник (поз.5),импульсную трубку (поз.6) и конусный штуцер (поз.7), поступает через основной корпус (поз.8) в полость поршня (поз.9), далее через второй конусный штуцер (поз.10), импульсную трубку (поз.11)  возвращается в корпус диспергатора (поз.2), т.е. получается постоянная циркуляция жидкости в схеме пробоотборника, выполняется требования.</w:t>
      </w:r>
      <w:proofErr w:type="gramEnd"/>
      <w:r w:rsidRPr="002D5AAB">
        <w:rPr>
          <w:rFonts w:eastAsia="Times New Roman" w:cs="Times New Roman"/>
          <w:sz w:val="24"/>
          <w:szCs w:val="24"/>
          <w:lang w:eastAsia="ru-RU"/>
        </w:rPr>
        <w:t xml:space="preserve"> ГОСТ 2517. 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     Постоянная циркуляция движения жидкости достигается за счет перепада давления между пробозаборной трубкой (поз.4) в корпусе диспергатора (поз.2) и импульсной трубкой (поз.11) с помощью сужающего устройства (поз.12), находящегося в корпусе диспергатора. Для профилактики и контроля проходимости жидкости по контуру установлен технологический дренажный кран (поз.28) 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    При ручном отборе проб жидкости, согласно ГОСТ 2517 в циркуляционном потоке схемы пробоотборника «Отбор-А-</w:t>
      </w:r>
      <w:proofErr w:type="spellStart"/>
      <w:r w:rsidRPr="002D5AAB">
        <w:rPr>
          <w:rFonts w:eastAsia="Times New Roman" w:cs="Times New Roman"/>
          <w:sz w:val="24"/>
          <w:szCs w:val="24"/>
          <w:lang w:eastAsia="ru-RU"/>
        </w:rPr>
        <w:t>Рслив</w:t>
      </w:r>
      <w:proofErr w:type="spellEnd"/>
      <w:r w:rsidRPr="002D5AAB">
        <w:rPr>
          <w:rFonts w:eastAsia="Times New Roman" w:cs="Times New Roman"/>
          <w:sz w:val="24"/>
          <w:szCs w:val="24"/>
          <w:lang w:eastAsia="ru-RU"/>
        </w:rPr>
        <w:t>» предусмотрен кран (поз.13), для слива пробы в баллон (поз.14).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    При автоматическом отборе проб жидкости, согласно ГОСТ 2517 необходимо в блоке управления  задать программу, обеспечивающую включение катушки (поз.15), для попадания потока жидкости в дозатор (поз.16)и выключения катушки (поз.17) после </w:t>
      </w:r>
      <w:r w:rsidRPr="002D5AAB">
        <w:rPr>
          <w:rFonts w:eastAsia="Times New Roman" w:cs="Times New Roman"/>
          <w:sz w:val="24"/>
          <w:szCs w:val="24"/>
          <w:lang w:eastAsia="ru-RU"/>
        </w:rPr>
        <w:lastRenderedPageBreak/>
        <w:t>наполнения объема дозатора. Объем дозы дозатора регулируется с помощью регулировочного винта (поз.18)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    Для пояснения принципа отбора пробы пробоотборника «Отбор-А-Р слив» смотрите чертеж приложения 2.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    Поток жидкости через трубопровод (поз.1) попадает в корпус диспергатора (поз.2), далее в </w:t>
      </w:r>
      <w:proofErr w:type="spellStart"/>
      <w:r w:rsidRPr="002D5AAB">
        <w:rPr>
          <w:rFonts w:eastAsia="Times New Roman" w:cs="Times New Roman"/>
          <w:sz w:val="24"/>
          <w:szCs w:val="24"/>
          <w:lang w:eastAsia="ru-RU"/>
        </w:rPr>
        <w:t>кавитирующей</w:t>
      </w:r>
      <w:proofErr w:type="spellEnd"/>
      <w:r w:rsidRPr="002D5AAB">
        <w:rPr>
          <w:rFonts w:eastAsia="Times New Roman" w:cs="Times New Roman"/>
          <w:sz w:val="24"/>
          <w:szCs w:val="24"/>
          <w:lang w:eastAsia="ru-RU"/>
        </w:rPr>
        <w:t xml:space="preserve"> втулке (поз.3) происходит перемешивание потока </w:t>
      </w:r>
      <w:proofErr w:type="gramStart"/>
      <w:r w:rsidRPr="002D5AAB">
        <w:rPr>
          <w:rFonts w:eastAsia="Times New Roman" w:cs="Times New Roman"/>
          <w:sz w:val="24"/>
          <w:szCs w:val="24"/>
          <w:lang w:eastAsia="ru-RU"/>
        </w:rPr>
        <w:t>жидкости</w:t>
      </w:r>
      <w:proofErr w:type="gramEnd"/>
      <w:r w:rsidRPr="002D5AAB">
        <w:rPr>
          <w:rFonts w:eastAsia="Times New Roman" w:cs="Times New Roman"/>
          <w:sz w:val="24"/>
          <w:szCs w:val="24"/>
          <w:lang w:eastAsia="ru-RU"/>
        </w:rPr>
        <w:t xml:space="preserve"> и жидкость через </w:t>
      </w:r>
      <w:proofErr w:type="spellStart"/>
      <w:r w:rsidRPr="002D5AAB">
        <w:rPr>
          <w:rFonts w:eastAsia="Times New Roman" w:cs="Times New Roman"/>
          <w:sz w:val="24"/>
          <w:szCs w:val="24"/>
          <w:lang w:eastAsia="ru-RU"/>
        </w:rPr>
        <w:t>пробозаборную</w:t>
      </w:r>
      <w:proofErr w:type="spellEnd"/>
      <w:r w:rsidRPr="002D5AAB">
        <w:rPr>
          <w:rFonts w:eastAsia="Times New Roman" w:cs="Times New Roman"/>
          <w:sz w:val="24"/>
          <w:szCs w:val="24"/>
          <w:lang w:eastAsia="ru-RU"/>
        </w:rPr>
        <w:t xml:space="preserve"> трубку попадает в циркуляционную схему потока жидкости.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D5AAB">
        <w:rPr>
          <w:rFonts w:eastAsia="Times New Roman" w:cs="Times New Roman"/>
          <w:sz w:val="24"/>
          <w:szCs w:val="24"/>
          <w:lang w:eastAsia="ru-RU"/>
        </w:rPr>
        <w:t xml:space="preserve">Для попадания жидкости в дозатор, включается катушка (поз.15), которая перемещает полость поршня (поз.9), для открытия отверстия заполнения дозатора (поз.20), поршень дозатора (поз.19) перемещается вверх для заполнения жидкостью </w:t>
      </w:r>
      <w:proofErr w:type="spellStart"/>
      <w:r w:rsidRPr="002D5AAB">
        <w:rPr>
          <w:rFonts w:eastAsia="Times New Roman" w:cs="Times New Roman"/>
          <w:sz w:val="24"/>
          <w:szCs w:val="24"/>
          <w:lang w:eastAsia="ru-RU"/>
        </w:rPr>
        <w:t>отрегулируемого</w:t>
      </w:r>
      <w:proofErr w:type="spellEnd"/>
      <w:r w:rsidRPr="002D5AAB">
        <w:rPr>
          <w:rFonts w:eastAsia="Times New Roman" w:cs="Times New Roman"/>
          <w:sz w:val="24"/>
          <w:szCs w:val="24"/>
          <w:lang w:eastAsia="ru-RU"/>
        </w:rPr>
        <w:t xml:space="preserve"> объема дозатора за счет того, что давление циркуляционного потока жидкости больше чем за поршнем дозатора по схеме: конусный штуцер (поз.21), импульсная трубка (поз.22), конусный штуцер корпуса</w:t>
      </w:r>
      <w:proofErr w:type="gramEnd"/>
      <w:r w:rsidRPr="002D5AAB">
        <w:rPr>
          <w:rFonts w:eastAsia="Times New Roman" w:cs="Times New Roman"/>
          <w:sz w:val="24"/>
          <w:szCs w:val="24"/>
          <w:lang w:eastAsia="ru-RU"/>
        </w:rPr>
        <w:t xml:space="preserve"> дозатора (поз.2), который находится за сужающим устройством (поз.12).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    После заполнения объемной дозы дозатора включается катушка (поз.17), для перемещения полости поршня (поз.9) в исходное состояние,  для подключения отверстия дозатора со штуцером слива (поз.23)</w:t>
      </w:r>
      <w:proofErr w:type="gramStart"/>
      <w:r w:rsidRPr="002D5AAB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2D5A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5AAB">
        <w:rPr>
          <w:rFonts w:eastAsia="Times New Roman" w:cs="Times New Roman"/>
          <w:sz w:val="24"/>
          <w:szCs w:val="24"/>
          <w:lang w:eastAsia="ru-RU"/>
        </w:rPr>
        <w:t>и</w:t>
      </w:r>
      <w:proofErr w:type="gramEnd"/>
      <w:r w:rsidRPr="002D5AAB">
        <w:rPr>
          <w:rFonts w:eastAsia="Times New Roman" w:cs="Times New Roman"/>
          <w:sz w:val="24"/>
          <w:szCs w:val="24"/>
          <w:lang w:eastAsia="ru-RU"/>
        </w:rPr>
        <w:t xml:space="preserve"> вытеснение объемной дозы жидкости, через импульсную трубку (поз.24) в баллон (поз.25).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    Слив дозы пробы в баллон происходит за счет жидкости под давлением, находящейся за поршнем дозатора. Поршень дозатора выталкивает заполненную дозу жидкости в баллон (поз.25).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     При любом положении полости поршня (поз.9), циркуляция не прерывается, согласно выше рассмотренной схеме.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    Объем объединенной пробы, заполненного в баллон должен быть не менее 3000 куб. см, согласно ГОСТ 2517. После заполнения баллон должен быть заменен </w:t>
      </w:r>
      <w:proofErr w:type="gramStart"/>
      <w:r w:rsidRPr="002D5AAB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2D5AAB">
        <w:rPr>
          <w:rFonts w:eastAsia="Times New Roman" w:cs="Times New Roman"/>
          <w:sz w:val="24"/>
          <w:szCs w:val="24"/>
          <w:lang w:eastAsia="ru-RU"/>
        </w:rPr>
        <w:t xml:space="preserve"> пустой, чисто промытый.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    Для правильной работы пробоотборника, необходимо перепроверить программу  блока управления.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 xml:space="preserve">     Блок управления - это микропроцессорное устройство, обеспечивающее функциональное выполнение заданной программы работы пробоотборника «Отбор-А-Р-слив».   </w:t>
      </w:r>
    </w:p>
    <w:p w:rsidR="002D5AAB" w:rsidRPr="002D5AAB" w:rsidRDefault="002D5AAB" w:rsidP="002D5AA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D5AAB" w:rsidRPr="002D5AAB" w:rsidRDefault="002D5AAB" w:rsidP="002D5AA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D5AAB" w:rsidRPr="002D5AAB" w:rsidRDefault="002D5AAB" w:rsidP="002D5AAB">
      <w:pPr>
        <w:spacing w:after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sz w:val="24"/>
          <w:szCs w:val="24"/>
          <w:lang w:eastAsia="ru-RU"/>
        </w:rPr>
        <w:t>6. РЕГУЛИРОВКА ДОЗЫ ЖИДКОСТИ.</w:t>
      </w:r>
    </w:p>
    <w:p w:rsidR="002D5AAB" w:rsidRPr="002D5AAB" w:rsidRDefault="002D5AAB" w:rsidP="002D5AAB">
      <w:pPr>
        <w:spacing w:after="0"/>
        <w:rPr>
          <w:rFonts w:eastAsia="Times New Roman" w:cs="Times New Roman"/>
          <w:i/>
          <w:sz w:val="24"/>
          <w:szCs w:val="24"/>
          <w:lang w:eastAsia="ru-RU"/>
        </w:rPr>
      </w:pP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5AAB">
        <w:rPr>
          <w:rFonts w:eastAsia="Times New Roman" w:cs="Times New Roman"/>
          <w:i/>
          <w:sz w:val="24"/>
          <w:szCs w:val="24"/>
          <w:lang w:eastAsia="ru-RU"/>
        </w:rPr>
        <w:t xml:space="preserve">    </w:t>
      </w:r>
      <w:r w:rsidRPr="002D5AAB">
        <w:rPr>
          <w:rFonts w:eastAsia="Times New Roman" w:cs="Times New Roman"/>
          <w:sz w:val="24"/>
          <w:szCs w:val="24"/>
          <w:lang w:eastAsia="ru-RU"/>
        </w:rPr>
        <w:t xml:space="preserve"> Регулировка дозы осуществляется с помощью регулирующей втулки (поз.18) и линейки. При повороте по часовой стрелки регулирующей втулки (поз.18), объем заполнения дозатора (поз.16)  уменьшается. Линейкой производится замер выступающей части регулирующей втулки дозатора  с последующим его выставлении на нужную величину. </w:t>
      </w:r>
    </w:p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758"/>
      </w:tblGrid>
      <w:tr w:rsidR="002D5AAB" w:rsidRPr="002D5AAB" w:rsidTr="00BF49F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30" w:type="dxa"/>
          </w:tcPr>
          <w:p w:rsidR="002D5AAB" w:rsidRPr="002D5AAB" w:rsidRDefault="002D5AAB" w:rsidP="002D5AA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2D5AAB">
              <w:rPr>
                <w:rFonts w:eastAsia="Times New Roman" w:cs="Times New Roman"/>
                <w:sz w:val="24"/>
                <w:szCs w:val="20"/>
                <w:lang w:eastAsia="ru-RU"/>
              </w:rPr>
              <w:t>Объем дозы дозатора, см</w:t>
            </w:r>
            <w:r w:rsidRPr="002D5AAB">
              <w:rPr>
                <w:rFonts w:eastAsia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758" w:type="dxa"/>
          </w:tcPr>
          <w:p w:rsidR="002D5AAB" w:rsidRPr="002D5AAB" w:rsidRDefault="002D5AAB" w:rsidP="002D5AA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D5AA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Выступающая часть втулки, </w:t>
            </w:r>
            <w:proofErr w:type="gramStart"/>
            <w:r w:rsidRPr="002D5AAB">
              <w:rPr>
                <w:rFonts w:eastAsia="Times New Roman" w:cs="Times New Roman"/>
                <w:sz w:val="24"/>
                <w:szCs w:val="20"/>
                <w:lang w:eastAsia="ru-RU"/>
              </w:rPr>
              <w:t>мм</w:t>
            </w:r>
            <w:proofErr w:type="gramEnd"/>
          </w:p>
        </w:tc>
      </w:tr>
      <w:tr w:rsidR="002D5AAB" w:rsidRPr="002D5AAB" w:rsidTr="00BF49F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330" w:type="dxa"/>
          </w:tcPr>
          <w:p w:rsidR="002D5AAB" w:rsidRPr="002D5AAB" w:rsidRDefault="002D5AAB" w:rsidP="002D5AA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D5AAB">
              <w:rPr>
                <w:rFonts w:eastAsia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758" w:type="dxa"/>
          </w:tcPr>
          <w:p w:rsidR="002D5AAB" w:rsidRPr="002D5AAB" w:rsidRDefault="002D5AAB" w:rsidP="002D5AA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D5AAB">
              <w:rPr>
                <w:rFonts w:eastAsia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2D5AAB" w:rsidRPr="002D5AAB" w:rsidTr="00BF49F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330" w:type="dxa"/>
          </w:tcPr>
          <w:p w:rsidR="002D5AAB" w:rsidRPr="002D5AAB" w:rsidRDefault="002D5AAB" w:rsidP="002D5AA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D5AAB">
              <w:rPr>
                <w:rFonts w:eastAsia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758" w:type="dxa"/>
          </w:tcPr>
          <w:p w:rsidR="002D5AAB" w:rsidRPr="002D5AAB" w:rsidRDefault="002D5AAB" w:rsidP="002D5AA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D5AAB">
              <w:rPr>
                <w:rFonts w:eastAsia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  <w:tr w:rsidR="002D5AAB" w:rsidRPr="002D5AAB" w:rsidTr="00BF49F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330" w:type="dxa"/>
          </w:tcPr>
          <w:p w:rsidR="002D5AAB" w:rsidRPr="002D5AAB" w:rsidRDefault="002D5AAB" w:rsidP="002D5AA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D5AAB">
              <w:rPr>
                <w:rFonts w:eastAsia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758" w:type="dxa"/>
          </w:tcPr>
          <w:p w:rsidR="002D5AAB" w:rsidRPr="002D5AAB" w:rsidRDefault="002D5AAB" w:rsidP="002D5AA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D5AAB">
              <w:rPr>
                <w:rFonts w:eastAsia="Times New Roman" w:cs="Times New Roman"/>
                <w:sz w:val="24"/>
                <w:szCs w:val="20"/>
                <w:lang w:eastAsia="ru-RU"/>
              </w:rPr>
              <w:t>22</w:t>
            </w:r>
          </w:p>
        </w:tc>
      </w:tr>
      <w:tr w:rsidR="002D5AAB" w:rsidRPr="002D5AAB" w:rsidTr="00BF49F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330" w:type="dxa"/>
          </w:tcPr>
          <w:p w:rsidR="002D5AAB" w:rsidRPr="002D5AAB" w:rsidRDefault="002D5AAB" w:rsidP="002D5AA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D5AAB">
              <w:rPr>
                <w:rFonts w:eastAsia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758" w:type="dxa"/>
          </w:tcPr>
          <w:p w:rsidR="002D5AAB" w:rsidRPr="002D5AAB" w:rsidRDefault="002D5AAB" w:rsidP="002D5AA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D5AAB">
              <w:rPr>
                <w:rFonts w:eastAsia="Times New Roman" w:cs="Times New Roman"/>
                <w:sz w:val="24"/>
                <w:szCs w:val="20"/>
                <w:lang w:eastAsia="ru-RU"/>
              </w:rPr>
              <w:t>18</w:t>
            </w:r>
          </w:p>
        </w:tc>
      </w:tr>
      <w:tr w:rsidR="002D5AAB" w:rsidRPr="002D5AAB" w:rsidTr="00BF49F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30" w:type="dxa"/>
          </w:tcPr>
          <w:p w:rsidR="002D5AAB" w:rsidRPr="002D5AAB" w:rsidRDefault="002D5AAB" w:rsidP="002D5AA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D5AAB">
              <w:rPr>
                <w:rFonts w:eastAsia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758" w:type="dxa"/>
          </w:tcPr>
          <w:p w:rsidR="002D5AAB" w:rsidRPr="002D5AAB" w:rsidRDefault="002D5AAB" w:rsidP="002D5AA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D5AAB">
              <w:rPr>
                <w:rFonts w:eastAsia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2D5AAB" w:rsidRPr="002D5AAB" w:rsidTr="00BF49F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30" w:type="dxa"/>
          </w:tcPr>
          <w:p w:rsidR="002D5AAB" w:rsidRPr="002D5AAB" w:rsidRDefault="002D5AAB" w:rsidP="002D5AA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D5AAB">
              <w:rPr>
                <w:rFonts w:eastAsia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758" w:type="dxa"/>
          </w:tcPr>
          <w:p w:rsidR="002D5AAB" w:rsidRPr="002D5AAB" w:rsidRDefault="002D5AAB" w:rsidP="002D5AAB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D5AAB">
              <w:rPr>
                <w:rFonts w:eastAsia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</w:tbl>
    <w:p w:rsidR="002D5AAB" w:rsidRPr="002D5AAB" w:rsidRDefault="002D5AAB" w:rsidP="002D5AA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00C0" w:rsidRDefault="00120B00">
      <w:pPr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940425" cy="4196755"/>
            <wp:effectExtent l="0" t="0" r="3175" b="0"/>
            <wp:docPr id="1" name="Рисунок 1" descr="C:\Users\Рамиль\Desktop\Отбор-А-Р\ПС-СБ1,2. с одн.каб.вводом  О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миль\Desktop\Отбор-А-Р\ПС-СБ1,2. с одн.каб.вводом  ОП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00" w:rsidRPr="00120B00" w:rsidRDefault="00120B00" w:rsidP="00120B00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940425" cy="4196755"/>
            <wp:effectExtent l="0" t="0" r="3175" b="0"/>
            <wp:docPr id="2" name="Рисунок 2" descr="C:\Users\Рамиль\Desktop\Отбор-А-Р\ПС-СБ2,2 c одним.каб.вводом с О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миль\Desktop\Отбор-А-Р\ПС-СБ2,2 c одним.каб.вводом с ОП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B00" w:rsidRPr="0012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731D"/>
    <w:multiLevelType w:val="hybridMultilevel"/>
    <w:tmpl w:val="EBACE8E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"/>
      <w:lvlJc w:val="left"/>
      <w:pPr>
        <w:tabs>
          <w:tab w:val="num" w:pos="6285"/>
        </w:tabs>
        <w:ind w:left="6285" w:hanging="5205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053E4"/>
    <w:multiLevelType w:val="singleLevel"/>
    <w:tmpl w:val="1FA080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6A14A18"/>
    <w:multiLevelType w:val="singleLevel"/>
    <w:tmpl w:val="9C6EB0B0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3">
    <w:nsid w:val="78885B07"/>
    <w:multiLevelType w:val="multilevel"/>
    <w:tmpl w:val="339E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82"/>
    <w:rsid w:val="00120B00"/>
    <w:rsid w:val="002D5AAB"/>
    <w:rsid w:val="00382CBD"/>
    <w:rsid w:val="004C1E82"/>
    <w:rsid w:val="006900C0"/>
    <w:rsid w:val="0075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82CBD"/>
    <w:pPr>
      <w:spacing w:line="240" w:lineRule="auto"/>
    </w:pPr>
    <w:rPr>
      <w:rFonts w:ascii="Times New Roman" w:hAnsi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82CB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20B0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82CBD"/>
    <w:pPr>
      <w:spacing w:line="240" w:lineRule="auto"/>
    </w:pPr>
    <w:rPr>
      <w:rFonts w:ascii="Times New Roman" w:hAnsi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82CB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20B0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2</cp:revision>
  <dcterms:created xsi:type="dcterms:W3CDTF">2018-02-07T15:15:00Z</dcterms:created>
  <dcterms:modified xsi:type="dcterms:W3CDTF">2018-02-07T15:15:00Z</dcterms:modified>
</cp:coreProperties>
</file>